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 w:firstLine="360" w:left="0"/>
        <w:jc w:val="center"/>
        <w:rPr>
          <w:b w:val="1"/>
          <w:sz w:val="28"/>
        </w:rPr>
      </w:pPr>
      <w:r>
        <w:rPr>
          <w:b w:val="1"/>
          <w:sz w:val="28"/>
        </w:rPr>
        <w:t>Пояснительная записка</w:t>
      </w:r>
    </w:p>
    <w:p w14:paraId="02000000">
      <w:pPr>
        <w:spacing w:line="276" w:lineRule="auto"/>
        <w:ind w:firstLine="360" w:left="0"/>
        <w:jc w:val="both"/>
        <w:rPr>
          <w:b w:val="1"/>
          <w:sz w:val="28"/>
        </w:rPr>
      </w:pPr>
      <w:r>
        <w:rPr>
          <w:b w:val="1"/>
          <w:sz w:val="28"/>
        </w:rPr>
        <w:t>к решению Совета МР «Сретенский район» «О внесении изменений в решение Совета муниципального района «Сретенский район» «О бюджете муниципального района на 2026 год и плановый период 2027 и 2028 годов»</w:t>
      </w:r>
    </w:p>
    <w:p w14:paraId="03000000">
      <w:pPr>
        <w:spacing w:line="276" w:lineRule="auto"/>
        <w:ind w:firstLine="360" w:left="0"/>
        <w:jc w:val="both"/>
        <w:rPr>
          <w:sz w:val="28"/>
        </w:rPr>
      </w:pPr>
    </w:p>
    <w:p w14:paraId="04000000">
      <w:pPr>
        <w:ind w:firstLine="567" w:left="0"/>
        <w:jc w:val="both"/>
        <w:rPr>
          <w:sz w:val="28"/>
        </w:rPr>
      </w:pPr>
      <w:r>
        <w:rPr>
          <w:sz w:val="28"/>
        </w:rPr>
        <w:t xml:space="preserve">Внесение изменений в решение Совета муниципального района «Сретенский район» «О бюджете муниципального района на 2026 год и плановый период 2027 и 2028 годов» от 23  декабря 2025 года № 105-РНП ( С  изм.29.12.2025 г. № 108-РНП) обусловлено распределением остатков по состоянию на 01.01.2026 года   по бюджету района в сумме 47 478,2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>., из них:</w:t>
      </w:r>
    </w:p>
    <w:p w14:paraId="05000000">
      <w:pPr>
        <w:ind w:firstLine="567" w:left="0"/>
        <w:jc w:val="both"/>
        <w:rPr>
          <w:sz w:val="28"/>
        </w:rPr>
      </w:pPr>
      <w:r>
        <w:rPr>
          <w:sz w:val="28"/>
        </w:rPr>
        <w:t xml:space="preserve">-   средства  дорожного фонда 5059,4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>.;</w:t>
      </w:r>
    </w:p>
    <w:p w14:paraId="06000000">
      <w:pPr>
        <w:ind w:firstLine="567" w:left="0"/>
        <w:jc w:val="both"/>
        <w:rPr>
          <w:sz w:val="28"/>
        </w:rPr>
      </w:pPr>
      <w:r>
        <w:rPr>
          <w:sz w:val="28"/>
        </w:rPr>
        <w:t xml:space="preserve">- дотация  на сбалансированность на поощрение работников, занимающихся обеспечением по привлечению граждан на военную службу в сумме 954,5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>.;</w:t>
      </w:r>
    </w:p>
    <w:p w14:paraId="07000000">
      <w:pPr>
        <w:ind/>
        <w:jc w:val="both"/>
        <w:rPr>
          <w:color w:val="000000"/>
          <w:sz w:val="28"/>
          <w:shd w:fill="FFD821" w:val="clear"/>
        </w:rPr>
      </w:pPr>
      <w:r>
        <w:rPr>
          <w:color w:val="000000"/>
          <w:sz w:val="28"/>
        </w:rPr>
        <w:t xml:space="preserve">    -о</w:t>
      </w:r>
      <w:r>
        <w:rPr>
          <w:color w:val="000000"/>
          <w:sz w:val="28"/>
          <w:shd w:themeFill="background1" w:val="clear"/>
        </w:rPr>
        <w:t xml:space="preserve">статки  средств  по Соглашению  в  сумме 4 098,4 </w:t>
      </w:r>
      <w:r>
        <w:rPr>
          <w:color w:val="000000"/>
          <w:sz w:val="28"/>
          <w:shd w:themeFill="background1" w:val="clear"/>
        </w:rPr>
        <w:t>тыс</w:t>
      </w:r>
      <w:r>
        <w:rPr>
          <w:color w:val="000000"/>
          <w:sz w:val="28"/>
          <w:shd w:themeFill="background1" w:val="clear"/>
        </w:rPr>
        <w:t>.р</w:t>
      </w:r>
      <w:r>
        <w:rPr>
          <w:color w:val="000000"/>
          <w:sz w:val="28"/>
          <w:shd w:themeFill="background1" w:val="clear"/>
        </w:rPr>
        <w:t>уб</w:t>
      </w:r>
      <w:r>
        <w:rPr>
          <w:color w:val="000000"/>
          <w:sz w:val="28"/>
          <w:shd w:themeFill="background1" w:val="clear"/>
        </w:rPr>
        <w:t xml:space="preserve">.; договор пожертвования № НШР 2025/06-11 от </w:t>
      </w:r>
      <w:r>
        <w:rPr>
          <w:color w:val="000000"/>
          <w:sz w:val="28"/>
          <w:shd w:themeFill="background1" w:val="clear"/>
        </w:rPr>
        <w:t>28.08.2025</w:t>
      </w:r>
      <w:r>
        <w:rPr>
          <w:color w:val="000000"/>
          <w:sz w:val="28"/>
          <w:shd w:themeFill="background1" w:val="clear"/>
        </w:rPr>
        <w:t xml:space="preserve"> – в сумме 4 065,1 тыс. руб. на приобретение строительных и отделочных материалов для проведения строительных ремонтных работ для обеспечения пограничной деятельности службы в п. </w:t>
      </w:r>
      <w:r>
        <w:rPr>
          <w:color w:val="000000"/>
          <w:sz w:val="28"/>
          <w:shd w:themeFill="background1" w:val="clear"/>
        </w:rPr>
        <w:t>Кокуй</w:t>
      </w:r>
      <w:r>
        <w:rPr>
          <w:color w:val="000000"/>
          <w:sz w:val="28"/>
          <w:shd w:themeFill="background1" w:val="clear"/>
        </w:rPr>
        <w:t xml:space="preserve"> «Пограничного управления ФСБ России по Забайкальскому краю». Соглашение </w:t>
      </w:r>
      <w:r>
        <w:rPr>
          <w:color w:val="000000"/>
          <w:sz w:val="28"/>
          <w:shd w:themeFill="background1" w:val="clear"/>
        </w:rPr>
        <w:t>без</w:t>
      </w:r>
      <w:r>
        <w:rPr>
          <w:color w:val="000000"/>
          <w:sz w:val="28"/>
          <w:shd w:themeFill="background1" w:val="clear"/>
        </w:rPr>
        <w:t xml:space="preserve"> № от </w:t>
      </w:r>
      <w:r>
        <w:rPr>
          <w:color w:val="000000"/>
          <w:sz w:val="28"/>
          <w:shd w:themeFill="background1" w:val="clear"/>
        </w:rPr>
        <w:t>22.05.2024</w:t>
      </w:r>
      <w:r>
        <w:rPr>
          <w:color w:val="000000"/>
          <w:sz w:val="28"/>
          <w:shd w:themeFill="background1" w:val="clear"/>
        </w:rPr>
        <w:t xml:space="preserve"> г. -  </w:t>
      </w:r>
      <w:r>
        <w:rPr>
          <w:color w:val="000000"/>
          <w:sz w:val="28"/>
          <w:shd w:themeFill="background1" w:val="clear"/>
        </w:rPr>
        <w:t>в</w:t>
      </w:r>
      <w:r>
        <w:rPr>
          <w:color w:val="000000"/>
          <w:sz w:val="28"/>
          <w:shd w:themeFill="background1" w:val="clear"/>
        </w:rPr>
        <w:t xml:space="preserve"> сумме 33,3 тыс. руб. ремонт прилегающей территории государственного профессионального образовательного учреждения «</w:t>
      </w:r>
      <w:r>
        <w:rPr>
          <w:color w:val="000000"/>
          <w:sz w:val="28"/>
          <w:shd w:themeFill="background1" w:val="clear"/>
        </w:rPr>
        <w:t>Кокуйское</w:t>
      </w:r>
      <w:r>
        <w:rPr>
          <w:color w:val="000000"/>
          <w:sz w:val="28"/>
          <w:shd w:themeFill="background1" w:val="clear"/>
        </w:rPr>
        <w:t xml:space="preserve"> профессиональное училище (</w:t>
      </w:r>
      <w:r>
        <w:rPr>
          <w:color w:val="000000"/>
          <w:sz w:val="28"/>
          <w:shd w:themeFill="background1" w:val="clear"/>
        </w:rPr>
        <w:t>трактородром</w:t>
      </w:r>
      <w:r>
        <w:rPr>
          <w:color w:val="000000"/>
          <w:sz w:val="28"/>
          <w:shd w:themeFill="background1" w:val="clear"/>
        </w:rPr>
        <w:t>).</w:t>
      </w:r>
      <w:r>
        <w:rPr>
          <w:color w:val="000000"/>
          <w:sz w:val="28"/>
        </w:rPr>
        <w:t xml:space="preserve"> </w:t>
      </w:r>
    </w:p>
    <w:p w14:paraId="08000000">
      <w:pPr>
        <w:ind w:firstLine="567" w:left="0"/>
        <w:jc w:val="both"/>
        <w:rPr>
          <w:sz w:val="28"/>
        </w:rPr>
      </w:pPr>
      <w:r>
        <w:rPr>
          <w:color w:val="000000"/>
          <w:sz w:val="28"/>
        </w:rPr>
        <w:t xml:space="preserve">- остатки средств по платежам за негативное </w:t>
      </w:r>
      <w:r>
        <w:rPr>
          <w:sz w:val="28"/>
        </w:rPr>
        <w:t xml:space="preserve">воздействие  на окружающую среду направлены на увеличение бюджетных ассигнований программы "Охрана окружающей среды муниципального района "Сретенский район" Забайкальского края  на 2025-2030 годы" в сумме 2995,8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 xml:space="preserve">.; </w:t>
      </w:r>
    </w:p>
    <w:p w14:paraId="09000000">
      <w:pPr>
        <w:ind w:firstLine="567" w:left="0"/>
        <w:jc w:val="both"/>
        <w:rPr>
          <w:sz w:val="28"/>
        </w:rPr>
      </w:pPr>
      <w:r>
        <w:rPr>
          <w:sz w:val="28"/>
        </w:rPr>
        <w:t xml:space="preserve">- остатки средств по межбюджетным трансфертам, передаваемых бюджету муниципального района "Сретенский  район"  из бюджетов поселений на осуществление внешнего муниципального </w:t>
      </w:r>
      <w:r>
        <w:rPr>
          <w:sz w:val="28"/>
        </w:rPr>
        <w:t>финансовго</w:t>
      </w:r>
      <w:r>
        <w:rPr>
          <w:sz w:val="28"/>
        </w:rPr>
        <w:t xml:space="preserve"> контроля в сумме 14,0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>.;</w:t>
      </w:r>
    </w:p>
    <w:p w14:paraId="0A000000">
      <w:pPr>
        <w:ind w:firstLine="567" w:left="0"/>
        <w:jc w:val="both"/>
        <w:rPr>
          <w:sz w:val="28"/>
        </w:rPr>
      </w:pPr>
      <w:r>
        <w:rPr>
          <w:sz w:val="28"/>
        </w:rPr>
        <w:t xml:space="preserve">- остатки налоговых и неналоговых доходов местного бюджета в сумме </w:t>
      </w:r>
      <w:r>
        <w:rPr>
          <w:sz w:val="28"/>
        </w:rPr>
        <w:t>34356,1</w:t>
      </w:r>
      <w:r>
        <w:rPr>
          <w:sz w:val="28"/>
        </w:rPr>
        <w:t xml:space="preserve">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 xml:space="preserve">. направлены на  формирование средств, иным образом зарезервированных в составе утвержденных бюджетных ассигнований в бюджете района  на обеспечение бюджетной устойчивости.  </w:t>
      </w:r>
      <w:r>
        <w:rPr>
          <w:sz w:val="28"/>
        </w:rPr>
        <w:t xml:space="preserve">В соответствии  с  заключением  о соответствии требованиям бюджетного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"consultantplus://offline/ref=B6113753995BF7432460A40C2E36E17D70BD6AC3AA4BC55A7A84AA7630A2E75CAF917571FBAB48E005916AEF638E8AE84C9DC9E7E82Fd3J" \o "consultantplus://offline/ref=B6113753995BF7432460A40C2E36E17D70BD6AC3AA4BC55A7A84AA7630A2E75CAF917571FBAB48E005916AEF638E8AE84C9DC9E7E82Fd3J"</w:instrText>
      </w:r>
      <w:r>
        <w:rPr>
          <w:sz w:val="28"/>
        </w:rPr>
        <w:fldChar w:fldCharType="separate"/>
      </w:r>
      <w:r>
        <w:rPr>
          <w:sz w:val="28"/>
        </w:rPr>
        <w:t>законодательства</w:t>
      </w:r>
      <w:r>
        <w:rPr>
          <w:sz w:val="28"/>
        </w:rPr>
        <w:fldChar w:fldCharType="end"/>
      </w:r>
      <w:r>
        <w:rPr>
          <w:sz w:val="28"/>
        </w:rPr>
        <w:t xml:space="preserve">      Российской Федерации внесенного в представительный орган муниципального образования проекта бюджета муниципального района «Сретенский район» на 2026 год и плановый период 2027 и 2028 годов   Министерство финансов Забайкальского края рекомендует обеспечить  направление использования остатков налоговых и неналоговых доходов </w:t>
      </w:r>
      <w:r>
        <w:rPr>
          <w:sz w:val="28"/>
        </w:rPr>
        <w:t>местного бюджета, сложившихся на 01 января 2026 года, в приоритетном порядке на погашение лимитированной</w:t>
      </w:r>
      <w:r>
        <w:rPr>
          <w:sz w:val="28"/>
        </w:rPr>
        <w:t xml:space="preserve"> кредиторской задолженности, образовавшейся на 01.01.2026 года, а также на обеспечение дефицита по первоочередным расходным обязательствам местного бюджета</w:t>
      </w:r>
      <w:r>
        <w:rPr>
          <w:sz w:val="28"/>
        </w:rPr>
        <w:t>.</w:t>
      </w:r>
      <w:r>
        <w:rPr>
          <w:sz w:val="28"/>
        </w:rPr>
        <w:t xml:space="preserve"> По согласованию  с  Министерством финансов  Забайкальского края</w:t>
      </w:r>
      <w:r>
        <w:rPr>
          <w:sz w:val="28"/>
        </w:rPr>
        <w:t xml:space="preserve"> </w:t>
      </w:r>
      <w:r>
        <w:rPr>
          <w:sz w:val="28"/>
        </w:rPr>
        <w:t xml:space="preserve">  средства резерва  будут направлены на о</w:t>
      </w:r>
      <w:r>
        <w:rPr>
          <w:sz w:val="28"/>
        </w:rPr>
        <w:t>плат</w:t>
      </w:r>
      <w:r>
        <w:rPr>
          <w:sz w:val="28"/>
        </w:rPr>
        <w:t>у</w:t>
      </w:r>
      <w:r>
        <w:rPr>
          <w:sz w:val="28"/>
        </w:rPr>
        <w:t xml:space="preserve"> труда с начислениями</w:t>
      </w:r>
      <w:r>
        <w:rPr>
          <w:sz w:val="28"/>
        </w:rPr>
        <w:t>, в  том числе  на  погашение  кредиторской  задолженности  по  заработной  плате на  начало года.</w:t>
      </w:r>
      <w:r>
        <w:rPr>
          <w:sz w:val="28"/>
        </w:rPr>
        <w:t xml:space="preserve"> </w:t>
      </w:r>
    </w:p>
    <w:p w14:paraId="0B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в сумме 0,1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>. (субвенция по содержанию безнадзорных животных 48,13 руб., субвенция на осуществление государственного полномочия по созданию административных комиссий       24 руб.)</w:t>
      </w:r>
      <w:bookmarkStart w:id="1" w:name="_GoBack"/>
      <w:bookmarkEnd w:id="1"/>
    </w:p>
    <w:p w14:paraId="0C000000">
      <w:pPr>
        <w:ind w:firstLine="567" w:left="0"/>
        <w:jc w:val="both"/>
        <w:rPr>
          <w:sz w:val="28"/>
        </w:rPr>
      </w:pPr>
      <w:r>
        <w:rPr>
          <w:sz w:val="28"/>
        </w:rPr>
        <w:t>Распределение остатков по состоянию на 01.01.2025 года</w:t>
      </w:r>
      <w:r>
        <w:rPr>
          <w:sz w:val="28"/>
        </w:rPr>
        <w:t xml:space="preserve"> ,</w:t>
      </w:r>
      <w:r>
        <w:rPr>
          <w:sz w:val="28"/>
        </w:rPr>
        <w:t xml:space="preserve">  возврат субвенций  повлекло внесение изменений в   объем поступлений  доходов в бюджет муниципального района (приложение № 1) и соответствующие разделы, подразделы, целевые статьи и виды  расходов, источники финансирования дефицита бюджета  (приложение № 24,26</w:t>
      </w:r>
      <w:r>
        <w:t xml:space="preserve">, </w:t>
      </w:r>
      <w:r>
        <w:rPr>
          <w:sz w:val="28"/>
        </w:rPr>
        <w:t xml:space="preserve">28), которые предложены вашему вниманию. </w:t>
      </w:r>
    </w:p>
    <w:p w14:paraId="0D000000">
      <w:pPr>
        <w:ind w:firstLine="567" w:left="0"/>
        <w:jc w:val="both"/>
        <w:rPr>
          <w:sz w:val="28"/>
        </w:rPr>
      </w:pPr>
      <w:r>
        <w:rPr>
          <w:sz w:val="28"/>
        </w:rPr>
        <w:t>Исходя  из вышеизложенного,  изменение по разделам, подразделам, целевым статьям и видам расходов функциональной классификации расходов районного бюджета составило  + 47478,2</w:t>
      </w:r>
      <w:r>
        <w:rPr>
          <w:sz w:val="22"/>
        </w:rPr>
        <w:t xml:space="preserve">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 xml:space="preserve">. из них: «Общегосударственные вопросы» 39423,0 тысяч рублей, «национальная экономика» +5059,4 </w:t>
      </w:r>
      <w:r>
        <w:rPr>
          <w:sz w:val="28"/>
        </w:rPr>
        <w:t>тыс</w:t>
      </w:r>
      <w:r>
        <w:rPr>
          <w:sz w:val="28"/>
        </w:rPr>
        <w:t>.р</w:t>
      </w:r>
      <w:r>
        <w:rPr>
          <w:sz w:val="28"/>
        </w:rPr>
        <w:t>уб</w:t>
      </w:r>
      <w:r>
        <w:rPr>
          <w:sz w:val="28"/>
        </w:rPr>
        <w:t xml:space="preserve">., «Охрана окружающей среды» 2995,8 </w:t>
      </w:r>
      <w:r>
        <w:rPr>
          <w:sz w:val="28"/>
        </w:rPr>
        <w:t>тыс.руб</w:t>
      </w:r>
      <w:r>
        <w:rPr>
          <w:sz w:val="28"/>
        </w:rPr>
        <w:t>.</w:t>
      </w:r>
    </w:p>
    <w:p w14:paraId="0E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Обычный1"/>
    <w:link w:val="Style_2_ch"/>
    <w:rPr>
      <w:rFonts w:ascii="Times New Roman" w:hAnsi="Times New Roman"/>
      <w:sz w:val="24"/>
    </w:rPr>
  </w:style>
  <w:style w:styleId="Style_2_ch" w:type="character">
    <w:name w:val="Обычный1"/>
    <w:link w:val="Style_2"/>
    <w:rPr>
      <w:rFonts w:ascii="Times New Roman" w:hAnsi="Times New Roman"/>
      <w:sz w:val="24"/>
    </w:rPr>
  </w:style>
  <w:style w:styleId="Style_3" w:type="paragraph">
    <w:name w:val="toc 2"/>
    <w:next w:val="Style_1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Гиперссылка2"/>
    <w:link w:val="Style_5_ch"/>
    <w:rPr>
      <w:color w:val="0000FF"/>
      <w:u w:val="single"/>
    </w:rPr>
  </w:style>
  <w:style w:styleId="Style_5_ch" w:type="character">
    <w:name w:val="Гиперссылка2"/>
    <w:link w:val="Style_5"/>
    <w:rPr>
      <w:color w:val="0000FF"/>
      <w:u w:val="single"/>
    </w:rPr>
  </w:style>
  <w:style w:styleId="Style_6" w:type="paragraph">
    <w:name w:val="toc 6"/>
    <w:next w:val="Style_1"/>
    <w:link w:val="Style_6_ch"/>
    <w:uiPriority w:val="39"/>
    <w:pPr>
      <w:ind w:firstLine="0"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alloon Text"/>
    <w:basedOn w:val="Style_1"/>
    <w:link w:val="Style_9_ch"/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toc 3"/>
    <w:next w:val="Style_1"/>
    <w:link w:val="Style_10_ch"/>
    <w:uiPriority w:val="39"/>
    <w:pPr>
      <w:ind w:firstLine="0" w:left="400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1_ch" w:type="character">
    <w:name w:val="heading 5"/>
    <w:link w:val="Style_11"/>
    <w:rPr>
      <w:rFonts w:ascii="XO Thames" w:hAnsi="XO Thames"/>
      <w:b w:val="1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</w:rPr>
  </w:style>
  <w:style w:styleId="Style_15_ch" w:type="character">
    <w:name w:val="Footnote"/>
    <w:link w:val="Style_15"/>
    <w:rPr>
      <w:rFonts w:ascii="XO Thames" w:hAnsi="XO Thames"/>
    </w:rPr>
  </w:style>
  <w:style w:styleId="Style_16" w:type="paragraph">
    <w:name w:val="toc 1"/>
    <w:next w:val="Style_1"/>
    <w:link w:val="Style_16_ch"/>
    <w:uiPriority w:val="39"/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Обычный1"/>
    <w:link w:val="Style_18_ch"/>
    <w:rPr>
      <w:rFonts w:ascii="Times New Roman" w:hAnsi="Times New Roman"/>
      <w:sz w:val="24"/>
    </w:rPr>
  </w:style>
  <w:style w:styleId="Style_18_ch" w:type="character">
    <w:name w:val="Обычный1"/>
    <w:link w:val="Style_18"/>
    <w:rPr>
      <w:rFonts w:ascii="Times New Roman" w:hAnsi="Times New Roman"/>
      <w:sz w:val="24"/>
    </w:rPr>
  </w:style>
  <w:style w:styleId="Style_19" w:type="paragraph">
    <w:name w:val="toc 9"/>
    <w:next w:val="Style_1"/>
    <w:link w:val="Style_19_ch"/>
    <w:uiPriority w:val="39"/>
    <w:pPr>
      <w:ind w:firstLine="0" w:left="1600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Основной шрифт абзаца2"/>
    <w:link w:val="Style_20_ch"/>
  </w:style>
  <w:style w:styleId="Style_20_ch" w:type="character">
    <w:name w:val="Основной шрифт абзаца2"/>
    <w:link w:val="Style_20"/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8"/>
    <w:next w:val="Style_1"/>
    <w:link w:val="Style_22_ch"/>
    <w:uiPriority w:val="39"/>
    <w:pPr>
      <w:ind w:firstLine="0" w:left="1400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Гиперссылка1"/>
    <w:link w:val="Style_23_ch"/>
    <w:rPr>
      <w:color w:val="0000FF"/>
      <w:u w:val="single"/>
    </w:rPr>
  </w:style>
  <w:style w:styleId="Style_23_ch" w:type="character">
    <w:name w:val="Гиперссылка1"/>
    <w:link w:val="Style_23"/>
    <w:rPr>
      <w:color w:val="0000FF"/>
      <w:u w:val="single"/>
    </w:rPr>
  </w:style>
  <w:style w:styleId="Style_24" w:type="paragraph">
    <w:name w:val="toc 5"/>
    <w:next w:val="Style_1"/>
    <w:link w:val="Style_24_ch"/>
    <w:uiPriority w:val="39"/>
    <w:pPr>
      <w:ind w:firstLine="0" w:left="800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2026-02-05T23:24:57Z</dcterms:modified>
</cp:coreProperties>
</file>